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402"/>
        <w:gridCol w:w="222"/>
        <w:gridCol w:w="1365"/>
        <w:gridCol w:w="2729"/>
      </w:tblGrid>
      <w:tr w:rsidR="000F258D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</w:tr>
      <w:tr w:rsidR="000F258D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0F258D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0F258D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июля 2024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01.07.2024</w:t>
            </w:r>
          </w:p>
        </w:tc>
      </w:tr>
      <w:tr w:rsidR="000F258D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12.1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Лебяжьевский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Муниципальный округ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</w:tr>
      <w:tr w:rsidR="000F258D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Обособленное 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0"/>
              </w:rPr>
            </w:pPr>
          </w:p>
        </w:tc>
      </w:tr>
      <w:tr w:rsidR="000F258D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37518000</w:t>
            </w:r>
          </w:p>
        </w:tc>
      </w:tr>
      <w:tr w:rsidR="000F258D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0"/>
              </w:rPr>
            </w:pPr>
          </w:p>
        </w:tc>
      </w:tr>
      <w:tr w:rsidR="000F258D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0"/>
              </w:rPr>
            </w:pPr>
          </w:p>
        </w:tc>
      </w:tr>
      <w:tr w:rsidR="000F258D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</w:tr>
      <w:tr w:rsidR="000F258D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258D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0F258D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0F258D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</w:tr>
    </w:tbl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1. «Организационная структура учреждения» 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Лебяжьевском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 округе на 1 июля 2024года 9 бюджетных учреждений, в том числе: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Муниципальная бюджетная дошкольная образовательная организация «Детский сад «Ладушки»;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Муниципальное бюджетное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Елошанская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средняя общеобразовательная школа», имеет филиал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алимово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Муниципальное бюджетное учреждение дополнительного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Лебяжьевский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 дополнительного образования";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Мун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иципальное бюджетное учреждение дополнительного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Лебяжьевская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детско-юношеская спортивная школа», имеет два филиала в селах Плоское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П-Лебяжье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Муниципальное бюджетное учреждение дополнительного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Лебяжьевская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детская школа искус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ств»;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Муниципальное бюджетное учреждение культуры «Социально- культурный центр», создано путем изменения типа учреждения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казенного на бюджетное.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Муниципальное бюджетное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Лебяжьевская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средняя общеобразовательная школа»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8.Муниципальное бюджетное учреждение культуры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Лебяжьевский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краеведческий музей"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бюджетное учреждение культуры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Лебяжьевская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межпоселенческая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библиотека"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«Результаты деятельности субъекта бюджетной отчетности»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Штатная чис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ленность работников учреждений культуры составила 116,35 ставок, на 1 июля 2024 года  занято 111,6 ставок, численность работающих 115 человек.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Штатная численность работников учреждений образования  337,41 ставок, на 1 июля 2024 года  занято 331,69 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вок, численность работающих 285 человек.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Закупка товаров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 и услуг проводится в соответствии с нормами Федерального закона от 05.04.2013г № 44-ФЗ. Контракты на поставку тепловой энергии и энергоснабжения заключены с единственным поставщиком.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70C0"/>
          <w:sz w:val="28"/>
          <w:szCs w:val="28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3 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«Анализ отчета об исполнении бюджета учреждения»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05053737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КФО 2 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За отчетный период доходы бюджетных учреждений по КФО 2  составили 2 007 332,35руб., из них: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- 91 220руб. аренда имущества (КОСГУ 120);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1 939 672,35руб. – платные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(КОСГУ 130); 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- 107 500руб. безвозмездные поступления (КОСГУ 150)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КОСГУ 180 уплачен налог на прибыль минус 131 360руб.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КФО 4 составили 2 449 874,21руб. Дефицит 442 541,86руб, за счет изменения остатка на счетах.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КФО 4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КФО 4 поступило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117 476 722,01руб. субсидия на выполнение государственного (муниципального) задания. Расходы по КФО 4 составили 116 794 793,44руб.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681 928,57руб, за счет изменения остатка на счетах.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КФО 5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КФО 5 сумма поступивших доходов 8 388 556,78руб. субсидия на иные цели. 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КФО 5 составили 8 371 422,65руб.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17 134,13руб, за счет изменения остатка на счетах.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Показатели ф.0503737 не соответствуют показателям ф.0503155 по КОСГУ 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 на сумму  1900,00руб., невыясненные поступления по администратору доходов 100 , не включенные в формы 0503737.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 «Анализ показателей бухгалтерской отчетности учреждений»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  В формах 0503773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(КФО 5) отражено изменение валюты баланса в связи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исправлением ошибок прошлых лет по коду причины 03.4 на сумму 164 000руб. по счетам 5.205.52 и 5.401.49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В формах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0503779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 остатки денежных средств на счетах учреждений на 1 июля 2024 года в общей сумме 1 007 121,21 руб., в том числе 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-КФО 2,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собственные доходы учреждений 306 158,51 руб.;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-КФО 4, субсидии на выполнение государственного (муниципального) задания 681 928,57руб.;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-КФО 5, субсидии на иные цели 17 134,13руб.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В формах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0503769М_Д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1 июля 2024 года отражена дебиторская задолженность бюджетных учреждении составила.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КФО 2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2.205.31 сумма 160 403,60руб. за платные услуги;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2.209.71 начислено возмещение материального ущерба по решению суда в сумме 37 108,38руб.;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счету 2.208.34 на сумму 250руб. текущая задолженность подотчетного лица;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КФО 4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4.205.31 сумма 447 525 174,24руб. субсидия на выполнение государственного (муниципального) задания;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4.206.23 на сумму 3 113 490,85руб. в соответствии с усло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виями договоров оплачен авансовый платеж за коммунальные услуги по отоплению учреждений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4.206.25 на сумму 5 000руб.  предоплата за услуги по паспортизации вентиляционной системы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4.206.26 на сумму 180 600руб. авансовый платеж за монтаж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пуско-наладку охранной сигнализации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4.206.31 на сумму 16 441,25руб. авансовые платежи в соответствии с договором за приобретение основных средств.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4.208.34 на сумму 20 000,48руб. текущая задолженность подотчетного лица за приобретени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материалов;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КФО 5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5.205.52 сумма 173 717 070,26руб. субсидия на иные цели.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-по счету 5.206.26 на сумму 405 917руб., из неё за экспертизу проектно-сметной документации 12 167,00руб.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предоплата за организацию питания детей в лагере досуга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отдыха 393750,00.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формах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0503769М_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кредиторская задолженность бюджетных учреждений на 1 июля 2024года.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2.205 сумма 348 144,59руб оплачено больше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начислено, за платные услуги дошкольных учреждений.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расходам бюджетных учре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ждений просроченной задолженности на 01.07.2024года нет. Текущая задолженность составила: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КФО 2 сумма 8259,50руб.;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КФО 4 сумма 13 549 085,05руб;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КФО 5 сумма 484 674,45руб.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счетам 401.41. и 401.49 по КФО 4 и КФО 5 отражено начисление субсид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на муниципальное задание и на иные цели. 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Резервы: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счетам 401.60.211 и 401.60.213 отражены резервы отпусков; 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401.60.343 отражено поступление ГСМ, приобретаемое по топливным картам, до поступления документов от поставщика.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401.60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.224 отражено начисление арендных платежей за весь срок действия договора аренды.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0F258D" w:rsidRDefault="00B07F6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Форма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0503295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не заполнена, так как нет задолженности по исполнительным листам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0503769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КФО 2 КБК </w:t>
      </w:r>
      <w:hyperlink r:id="rId4">
        <w:r>
          <w:rPr>
            <w:rStyle w:val="a3"/>
            <w:rFonts w:ascii="Calibri" w:eastAsia="Calibri" w:hAnsi="Calibri" w:cs="Calibri"/>
            <w:color w:val="000000"/>
            <w:sz w:val="28"/>
            <w:szCs w:val="28"/>
            <w:u w:val="none"/>
          </w:rPr>
          <w:t>08010000000000180</w:t>
        </w:r>
        <w:r>
          <w:rPr>
            <w:rStyle w:val="a3"/>
            <w:rFonts w:ascii="Calibri" w:eastAsia="Calibri" w:hAnsi="Calibri" w:cs="Calibri"/>
            <w:sz w:val="28"/>
            <w:szCs w:val="28"/>
          </w:rPr>
          <w:t xml:space="preserve"> счет </w:t>
        </w:r>
        <w:r>
          <w:rPr>
            <w:rStyle w:val="a3"/>
            <w:rFonts w:ascii="Calibri" w:eastAsia="Calibri" w:hAnsi="Calibri" w:cs="Calibri"/>
            <w:color w:val="000000"/>
            <w:sz w:val="28"/>
            <w:szCs w:val="28"/>
            <w:u w:val="none"/>
          </w:rPr>
          <w:t>205</w:t>
        </w:r>
        <w:r>
          <w:rPr>
            <w:rStyle w:val="a3"/>
            <w:rFonts w:ascii="Calibri" w:eastAsia="Calibri" w:hAnsi="Calibri" w:cs="Calibri"/>
            <w:sz w:val="28"/>
            <w:szCs w:val="28"/>
          </w:rPr>
          <w:t>.</w:t>
        </w:r>
        <w:r>
          <w:rPr>
            <w:rStyle w:val="a3"/>
            <w:rFonts w:ascii="Calibri" w:eastAsia="Calibri" w:hAnsi="Calibri" w:cs="Calibri"/>
            <w:color w:val="000000"/>
            <w:sz w:val="28"/>
            <w:szCs w:val="28"/>
            <w:u w:val="none"/>
          </w:rPr>
          <w:t>81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отражено движение невыясненных поступлений.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Полномочия по ведению бюджетного учета всех бюджетных учреждений округа передано в централизованную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бухгалтерию Финансового отдела Администрации Лебяжьевского муниципального округа.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 доступ пользователей к единому централизованному программному обеспечению ведения бюджетного (бухгалтерского) учета и формированию бюджетной (бухгалтерской) отчетно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на базе программного комплекса программы 1С Предприятие «Зарплата и кадры государственного учреждения,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редакция 3.1» и  «Бухгалтерия государственного учреждения, редакция 2.0», установленной в облачной инфраструктуре.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color w:val="000000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color w:val="000000"/>
        </w:rPr>
        <w:t> </w:t>
      </w:r>
    </w:p>
    <w:p w:rsidR="000F258D" w:rsidRDefault="000F258D"/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730"/>
        <w:gridCol w:w="4716"/>
        <w:gridCol w:w="266"/>
        <w:gridCol w:w="2554"/>
        <w:gridCol w:w="60"/>
      </w:tblGrid>
      <w:tr w:rsidR="000F258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258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258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0F258D"/>
        </w:tc>
      </w:tr>
      <w:tr w:rsidR="000F258D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0F258D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F258D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0F258D">
            <w:pPr>
              <w:rPr>
                <w:sz w:val="24"/>
              </w:rPr>
            </w:pPr>
          </w:p>
        </w:tc>
      </w:tr>
      <w:tr w:rsidR="000F258D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0F258D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F258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</w:tr>
      <w:tr w:rsidR="000F258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0F258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258D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</w:tr>
    </w:tbl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6412"/>
        <w:gridCol w:w="808"/>
        <w:gridCol w:w="2362"/>
        <w:gridCol w:w="276"/>
      </w:tblGrid>
      <w:tr w:rsidR="000F258D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F258D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0F258D">
            <w:pPr>
              <w:rPr>
                <w:sz w:val="24"/>
              </w:rPr>
            </w:pPr>
          </w:p>
        </w:tc>
      </w:tr>
      <w:tr w:rsidR="000F258D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0F258D">
            <w:pPr>
              <w:rPr>
                <w:sz w:val="24"/>
              </w:rPr>
            </w:pPr>
          </w:p>
        </w:tc>
      </w:tr>
      <w:tr w:rsidR="000F258D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0F258D">
            <w:pPr>
              <w:rPr>
                <w:sz w:val="24"/>
              </w:rPr>
            </w:pPr>
          </w:p>
        </w:tc>
      </w:tr>
    </w:tbl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275"/>
        <w:gridCol w:w="1958"/>
        <w:gridCol w:w="189"/>
        <w:gridCol w:w="3598"/>
        <w:gridCol w:w="262"/>
        <w:gridCol w:w="2498"/>
      </w:tblGrid>
      <w:tr w:rsidR="000F258D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0F258D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0F258D">
            <w:pPr>
              <w:rPr>
                <w:sz w:val="8"/>
              </w:rPr>
            </w:pPr>
          </w:p>
        </w:tc>
      </w:tr>
      <w:tr w:rsidR="000F258D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258D" w:rsidRDefault="00B07F6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258D" w:rsidRDefault="00B07F6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086"/>
        <w:gridCol w:w="1836"/>
        <w:gridCol w:w="256"/>
        <w:gridCol w:w="2911"/>
        <w:gridCol w:w="256"/>
        <w:gridCol w:w="565"/>
        <w:gridCol w:w="514"/>
        <w:gridCol w:w="488"/>
        <w:gridCol w:w="320"/>
        <w:gridCol w:w="1578"/>
      </w:tblGrid>
      <w:tr w:rsidR="000F258D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0F258D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58D" w:rsidRDefault="000F258D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F258D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258D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Начальник отдела учета и отчетности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0F258D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Тихонова Лариса Васильевна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B07F6F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8(35-237)90875</w:t>
            </w:r>
          </w:p>
        </w:tc>
      </w:tr>
      <w:tr w:rsidR="000F258D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F258D" w:rsidRDefault="000F258D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F258D" w:rsidRDefault="00B07F6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F258D" w:rsidRDefault="00B07F6F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(телефон,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e-mail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0F258D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0F258D">
            <w:pPr>
              <w:rPr>
                <w:sz w:val="8"/>
              </w:rPr>
            </w:pPr>
          </w:p>
        </w:tc>
      </w:tr>
      <w:tr w:rsidR="000F258D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58D" w:rsidRDefault="00B07F6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258D" w:rsidRDefault="000F258D"/>
        </w:tc>
      </w:tr>
      <w:tr w:rsidR="000F258D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258D" w:rsidRDefault="000F258D"/>
        </w:tc>
      </w:tr>
    </w:tbl>
    <w:p w:rsidR="000F258D" w:rsidRDefault="00B07F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F258D" w:rsidRDefault="00B07F6F"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sectPr w:rsidR="000F258D" w:rsidSect="000F258D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0F258D"/>
    <w:rsid w:val="000F258D"/>
    <w:rsid w:val="00B0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F2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0F258D"/>
  </w:style>
  <w:style w:type="character" w:styleId="a3">
    <w:name w:val="Hyperlink"/>
    <w:rsid w:val="000F258D"/>
    <w:rPr>
      <w:color w:val="0000FF"/>
      <w:u w:val="single"/>
    </w:rPr>
  </w:style>
  <w:style w:type="table" w:styleId="1">
    <w:name w:val="Table Simple 1"/>
    <w:basedOn w:val="a1"/>
    <w:rsid w:val="000F25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about:blank2745305.101207.-1.79044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1149</Words>
  <Characters>6552</Characters>
  <Application>Microsoft Office Word</Application>
  <DocSecurity>0</DocSecurity>
  <Lines>54</Lines>
  <Paragraphs>15</Paragraphs>
  <ScaleCrop>false</ScaleCrop>
  <Company>RePack by SPecialiST</Company>
  <LinksUpToDate>false</LinksUpToDate>
  <CharactersWithSpaces>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</cp:revision>
  <dcterms:created xsi:type="dcterms:W3CDTF">2024-10-24T04:10:00Z</dcterms:created>
  <dcterms:modified xsi:type="dcterms:W3CDTF">2024-10-24T04:10:00Z</dcterms:modified>
</cp:coreProperties>
</file>